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Analyseraster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F6E56"/>
          <w:sz w:val="26"/>
          <w:szCs w:val="26"/>
        </w:rPr>
        <w:t xml:space="preserve">Funktionen herausfordernden Verhaltens im Autismus-Spektrum</w:t>
      </w:r>
    </w:p>
    <w:p>
      <w:pPr>
        <w:pBdr>
          <w:bottom w:val="single" w:color="B4B2A9" w:sz="6"/>
        </w:pBdr>
        <w:spacing w:after="160"/>
      </w:pPr>
      <w:r>
        <w:rPr>
          <w:rFonts w:ascii="Calibri" w:cs="Calibri" w:eastAsia="Calibri" w:hAnsi="Calibri"/>
          <w:i/>
          <w:iCs/>
          <w:color w:val="5F5E5A"/>
          <w:sz w:val="19"/>
          <w:szCs w:val="19"/>
        </w:rPr>
        <w:t xml:space="preserve">Praxisinstrument zur funktionalen Verhaltensanalyse (ABC / Eisberg-Modell). Grundhaltung: Verhalten ist funktional – es erfüllt einen Zweck. Statt «Warum tut sie/er das?» fragen wir: «Welches Bedürfnis wird hier ausgedrückt?»</w:t>
      </w:r>
    </w:p>
    <w:p>
      <w:pPr>
        <w:pBdr>
          <w:bottom w:val="single" w:color="1F3864" w:sz="8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1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Kontext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700"/>
        <w:gridCol w:w="1800"/>
        <w:gridCol w:w="2700"/>
      </w:tblGrid>
      <w:tr>
        <w:tc>
          <w:tcPr>
            <w:tcW w:type="dxa" w:w="18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8"/>
                <w:szCs w:val="18"/>
              </w:rPr>
              <w:t xml:space="preserve">Name / Kürzel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8"/>
                <w:szCs w:val="18"/>
              </w:rPr>
              <w:t xml:space="preserve">Datum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8"/>
                <w:szCs w:val="18"/>
              </w:rPr>
              <w:t xml:space="preserve">Beobachter/in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8"/>
                <w:szCs w:val="18"/>
              </w:rPr>
              <w:t xml:space="preserve">Ort / Setting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8"/>
                <w:szCs w:val="18"/>
              </w:rPr>
              <w:t xml:space="preserve">Situation kurz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7200"/>
            <w:gridSpan w:val="3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2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0F6E56" w:sz="8"/>
        </w:pBdr>
        <w:spacing w:after="100" w:before="260"/>
      </w:pPr>
      <w:r>
        <w:rPr>
          <w:rFonts w:ascii="Calibri" w:cs="Calibri" w:eastAsia="Calibri" w:hAnsi="Calibri"/>
          <w:b/>
          <w:bCs/>
          <w:color w:val="0F6E56"/>
          <w:sz w:val="24"/>
          <w:szCs w:val="24"/>
        </w:rPr>
        <w:t xml:space="preserve">2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Beobachtung: ABC-Analyse</w:t>
      </w:r>
    </w:p>
    <w:p>
      <w:pPr>
        <w:spacing w:after="100" w:before="40" w:line="264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F5E5A"/>
          <w:sz w:val="18"/>
          <w:szCs w:val="18"/>
        </w:rPr>
        <w:t xml:space="preserve">Zuerst nur beobachten und beschreiben – noch nicht deuten. Mehrere Situationen erfassen, um Muster zu erkennen.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tblHeader/>
        </w:trPr>
        <w:tc>
          <w:tcPr>
            <w:tcW w:type="dxa" w:w="3000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0F6E5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 – Vorher / Auslöser</w:t>
            </w:r>
          </w:p>
        </w:tc>
        <w:tc>
          <w:tcPr>
            <w:tcW w:type="dxa" w:w="3000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0F6E5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 – Verhalten (beobachtbar)</w:t>
            </w:r>
          </w:p>
        </w:tc>
        <w:tc>
          <w:tcPr>
            <w:tcW w:type="dxa" w:w="3000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0F6E5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 – Nachher / Konsequenz</w:t>
            </w:r>
          </w:p>
        </w:tc>
      </w:tr>
      <w:tr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40" w:before="40" w:line="264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F5E5A"/>
                <w:sz w:val="17"/>
                <w:szCs w:val="17"/>
              </w:rPr>
              <w:t xml:space="preserve">Was ging unmittelbar voraus? Anforderung, Reizumgebung, Übergang, Personen, Tageszeit?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40" w:before="40" w:line="264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F5E5A"/>
                <w:sz w:val="17"/>
                <w:szCs w:val="17"/>
              </w:rPr>
              <w:t xml:space="preserve">Was genau war zu sehen/hören? Ohne Deutung, ohne «wollte». Dauer, Intensität?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pPr>
              <w:spacing w:after="40" w:before="40" w:line="264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F5E5A"/>
                <w:sz w:val="17"/>
                <w:szCs w:val="17"/>
              </w:rPr>
              <w:t xml:space="preserve">Was folgte? Reaktion des Umfelds, Ende der Anforderung, erhaltene Aufmerksamkeit/Objekt?</w:t>
            </w:r>
          </w:p>
        </w:tc>
      </w:tr>
      <w:tr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40" w:before="1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3C3489" w:sz="8"/>
        </w:pBdr>
        <w:spacing w:after="100" w:before="260"/>
      </w:pPr>
      <w:r>
        <w:rPr>
          <w:rFonts w:ascii="Calibri" w:cs="Calibri" w:eastAsia="Calibri" w:hAnsi="Calibri"/>
          <w:b/>
          <w:bCs/>
          <w:color w:val="3C3489"/>
          <w:sz w:val="24"/>
          <w:szCs w:val="24"/>
        </w:rPr>
        <w:t xml:space="preserve">3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Vermutete Funktion(en)</w:t>
      </w:r>
    </w:p>
    <w:p>
      <w:pPr>
        <w:spacing w:after="80" w:before="40" w:line="264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F5E5A"/>
          <w:sz w:val="18"/>
          <w:szCs w:val="18"/>
        </w:rPr>
        <w:t xml:space="preserve">Mehrfachnennung möglich – ein Verhalten kann mehrere Funktionen zugleich erfüllen.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0F6E56"/>
          <w:sz w:val="19"/>
          <w:szCs w:val="19"/>
        </w:rPr>
        <w:t xml:space="preserve">Auf das Umfeld gerichtet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Kommunikation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Verhalten als Sprache: «Ich will / brauche / sieh mich»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Flucht / Vermeidung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einer überfordernden oder unangenehmen Situation entkommen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Zugang / Erlangen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Objekt, Aktivität, Nähe oder Aufmerksamkeit erhalten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color w:val="3C3489"/>
          <w:sz w:val="19"/>
          <w:szCs w:val="19"/>
        </w:rPr>
        <w:t xml:space="preserve">Auf die Person selbst gerichtet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Sensorische Regulation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Reize dämpfen (Overload) oder gezielt suchen (Understimulation)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Emotions- / Stressregulation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Anspannung, Angst, Unsicherheit bewältigen (z. B. Meltdown = Überlauf)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Vorhersehbarkeit / Kontrolle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Struktur und Berechenbarkeit herstellen</w:t>
      </w:r>
    </w:p>
    <w:p>
      <w:pPr>
        <w:spacing w:after="30" w:before="30"/>
      </w:pPr>
      <w:r>
        <w:rPr>
          <w:rFonts w:ascii="Calibri" w:cs="Calibri" w:eastAsia="Calibri" w:hAnsi="Calibri"/>
          <w:color w:val="5F5E5A"/>
          <w:sz w:val="22"/>
          <w:szCs w:val="22"/>
        </w:rPr>
        <w:t xml:space="preserve">❑  </w:t>
      </w:r>
      <w:r>
        <w:rPr>
          <w:rFonts w:ascii="Calibri" w:cs="Calibri" w:eastAsia="Calibri" w:hAnsi="Calibri"/>
          <w:b/>
          <w:bCs/>
          <w:color w:val="2C2C2A"/>
          <w:sz w:val="20"/>
          <w:szCs w:val="20"/>
        </w:rPr>
        <w:t xml:space="preserve">Schmerz / körperliche Ursachen</w:t>
      </w:r>
      <w:r>
        <w:rPr>
          <w:rFonts w:ascii="Calibri" w:cs="Calibri" w:eastAsia="Calibri" w:hAnsi="Calibri"/>
          <w:color w:val="5F5E5A"/>
          <w:sz w:val="20"/>
          <w:szCs w:val="20"/>
        </w:rPr>
        <w:t xml:space="preserve"> – Zähne, Magen-Darm, Schlaf, Infekt, Medikamente – zuerst ausschliessen!</w:t>
      </w:r>
    </w:p>
    <w:p>
      <w:pPr>
        <w:pBdr>
          <w:bottom w:val="single" w:color="3C3489" w:sz="8"/>
        </w:pBdr>
        <w:spacing w:after="100" w:before="260"/>
      </w:pPr>
      <w:r>
        <w:rPr>
          <w:rFonts w:ascii="Calibri" w:cs="Calibri" w:eastAsia="Calibri" w:hAnsi="Calibri"/>
          <w:b/>
          <w:bCs/>
          <w:color w:val="3C3489"/>
          <w:sz w:val="24"/>
          <w:szCs w:val="24"/>
        </w:rPr>
        <w:t xml:space="preserve">4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Hypothese: Eisberg-Modell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00"/>
      </w:tblGrid>
      <w:tr>
        <w:tc>
          <w:tcPr>
            <w:tcW w:type="dxa" w:w="2400"/>
            <w:tcBorders>
              <w:top w:val="single" w:color="3C3489" w:sz="4"/>
              <w:left w:val="single" w:color="3C3489" w:sz="4"/>
              <w:bottom w:val="single" w:color="3C3489" w:sz="4"/>
              <w:right w:val="single" w:color="3C3489" w:sz="4"/>
            </w:tcBorders>
            <w:shd w:fill="3C34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Sichtbar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FFFFFF"/>
                <w:sz w:val="17"/>
                <w:szCs w:val="17"/>
              </w:rPr>
              <w:t xml:space="preserve">(Verhalten)</w:t>
            </w:r>
          </w:p>
        </w:tc>
        <w:tc>
          <w:tcPr>
            <w:tcW w:type="dxa" w:w="66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3C3489" w:sz="4"/>
              <w:left w:val="single" w:color="3C3489" w:sz="4"/>
              <w:bottom w:val="single" w:color="3C3489" w:sz="4"/>
              <w:right w:val="single" w:color="3C3489" w:sz="4"/>
            </w:tcBorders>
            <w:shd w:fill="AFA9E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color w:val="26215C"/>
                <w:sz w:val="20"/>
                <w:szCs w:val="20"/>
              </w:rPr>
              <w:t xml:space="preserve">Darunter</w:t>
            </w:r>
          </w:p>
          <w:p>
            <w:pPr>
              <w:spacing w:after="20" w:before="0"/>
            </w:pPr>
            <w:r>
              <w:rPr>
                <w:rFonts w:ascii="Calibri" w:cs="Calibri" w:eastAsia="Calibri" w:hAnsi="Calibri"/>
                <w:color w:val="26215C"/>
                <w:sz w:val="17"/>
                <w:szCs w:val="17"/>
              </w:rPr>
              <w:t xml:space="preserve">Bedürfnis, Belastung, Auslöser</w:t>
            </w:r>
          </w:p>
        </w:tc>
        <w:tc>
          <w:tcPr>
            <w:tcW w:type="dxa" w:w="66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0F6E56" w:sz="8"/>
        </w:pBdr>
        <w:spacing w:after="100" w:before="260"/>
      </w:pPr>
      <w:r>
        <w:rPr>
          <w:rFonts w:ascii="Calibri" w:cs="Calibri" w:eastAsia="Calibri" w:hAnsi="Calibri"/>
          <w:b/>
          <w:bCs/>
          <w:color w:val="0F6E56"/>
          <w:sz w:val="24"/>
          <w:szCs w:val="24"/>
        </w:rPr>
        <w:t xml:space="preserve">5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Handlungsansätze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00"/>
      </w:tblGrid>
      <w:tr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9"/>
                <w:szCs w:val="19"/>
              </w:rPr>
              <w:t xml:space="preserve">Präventiv: Umfeld anpassen</w:t>
            </w:r>
          </w:p>
        </w:tc>
        <w:tc>
          <w:tcPr>
            <w:tcW w:type="dxa" w:w="63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0" w:before="1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9"/>
                <w:szCs w:val="19"/>
              </w:rPr>
              <w:t xml:space="preserve">Kommunikation / Alternative aufbauen</w:t>
            </w:r>
          </w:p>
        </w:tc>
        <w:tc>
          <w:tcPr>
            <w:tcW w:type="dxa" w:w="63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0" w:before="1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9"/>
                <w:szCs w:val="19"/>
              </w:rPr>
              <w:t xml:space="preserve">In der akuten Situation</w:t>
            </w:r>
          </w:p>
        </w:tc>
        <w:tc>
          <w:tcPr>
            <w:tcW w:type="dxa" w:w="63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0" w:before="1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shd w:fill="F1EFE8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color w:val="5F5E5A"/>
                <w:sz w:val="19"/>
                <w:szCs w:val="19"/>
              </w:rPr>
              <w:t xml:space="preserve">Überprüfung / nächster Schritt (Datum)</w:t>
            </w:r>
          </w:p>
        </w:tc>
        <w:tc>
          <w:tcPr>
            <w:tcW w:type="dxa" w:w="6300"/>
            <w:tcBorders>
              <w:top w:val="single" w:color="B4B2A9" w:sz="4"/>
              <w:left w:val="single" w:color="B4B2A9" w:sz="4"/>
              <w:bottom w:val="single" w:color="B4B2A9" w:sz="4"/>
              <w:right w:val="single" w:color="B4B2A9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100" w:before="1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C2C2A"/>
                <w:sz w:val="20"/>
                <w:szCs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rFonts w:ascii="Calibri" w:cs="Calibri" w:eastAsia="Calibri" w:hAnsi="Calibri"/>
          <w:i/>
          <w:iCs/>
          <w:color w:val="888780"/>
          <w:sz w:val="17"/>
          <w:szCs w:val="17"/>
        </w:rPr>
        <w:t xml:space="preserve">Wichtig: Dasselbe Verhalten kann bei verschiedenen Personen – oder bei derselben Person in verschiedenen Situationen – unterschiedliche Funktionen haben. Bei körperlichem Verdacht immer zuerst medizinisch abklären.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2026-07-16T15:52:29.263Z</dcterms:created>
  <dcterms:modified xsi:type="dcterms:W3CDTF">2026-07-16T15:52:29.283Z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